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Code de conduite et politiques internes de STICK RDC SARLU</w:t>
      </w:r>
    </w:p>
    <w:p>
      <w:r>
        <w:t>Mise à jour en 2025  •  Approbation du 29 septembre 2026</w:t>
      </w:r>
    </w:p>
    <w:p>
      <w:r>
        <w:t>Ce texte fixe les engagements applicables à STICK RDC SARLU, à ses dirigeants, à ses employés et aux personnes qui agissent pour son compte dans la fourniture, l’installation et la maintenance de biens et équipements. Il prend effet à la date de signature par la direction. Les pratiques antérieures ne sont pas présumées documentées par ce texte.</w:t>
      </w:r>
    </w:p>
    <w:p>
      <w:pPr>
        <w:pStyle w:val="Heading1"/>
      </w:pPr>
      <w:r>
        <w:t>1 Gouvernance et responsabilité</w:t>
      </w:r>
    </w:p>
    <w:p>
      <w:r>
        <w:t>Le Directeur général approuve le présent code, désigne une personne chargée de son application et le communique aux collaborateurs concernés. Les décisions et incidents importants sont consignés. Le code est revu au moins une fois par an et après tout incident significatif.</w:t>
      </w:r>
    </w:p>
    <w:p>
      <w:pPr>
        <w:pStyle w:val="Heading1"/>
      </w:pPr>
      <w:r>
        <w:t>2 Travail et droits des personnes</w:t>
      </w:r>
    </w:p>
    <w:p>
      <w:r>
        <w:t>STICK interdit le travail forcé et le travail des enfants. L’identité et l’âge des personnes recrutées sont vérifiés avant leur entrée en fonction, sans conserver leurs documents originaux. Les conditions de travail, la rémunération, les horaires et les heures supplémentaires sont communiqués aux employés et appliqués conformément aux règles en vigueur. Les employés peuvent exprimer leurs préoccupations et s’organiser sans représailles.</w:t>
      </w:r>
    </w:p>
    <w:p>
      <w:pPr>
        <w:pStyle w:val="Heading1"/>
      </w:pPr>
      <w:r>
        <w:t>3 Égalité et respect</w:t>
      </w:r>
    </w:p>
    <w:p>
      <w:r>
        <w:t>Le recrutement, la rémunération, la formation et l’évolution professionnelle reposent sur les compétences et les exigences du poste. STICK refuse la discrimination, le harcèlement et les violences, notamment à caractère sexuel. Toute plainte est examinée avec discrétion et impartialité.</w:t>
      </w:r>
    </w:p>
    <w:p>
      <w:pPr>
        <w:pStyle w:val="Heading1"/>
      </w:pPr>
      <w:r>
        <w:t>4 Santé et sécurité</w:t>
      </w:r>
    </w:p>
    <w:p>
      <w:r>
        <w:t>Avant toute intervention, le responsable évalue les risques du site, prévoit les protections adaptées, vérifie les équipements et donne des consignes claires. Les accidents et situations dangereuses sont signalés, consignés et corrigés. Aucun travailleur ne doit être pénalisé pour avoir signalé un danger sérieux.</w:t>
      </w:r>
    </w:p>
    <w:p>
      <w:pPr>
        <w:pStyle w:val="Heading1"/>
      </w:pPr>
      <w:r>
        <w:t>5 Qualité des produits et traçabilité</w:t>
      </w:r>
    </w:p>
    <w:p>
      <w:r>
        <w:t>STICK vérifie l’identité du fabricant, le modèle, la fiche technique, les certificats requis, la quantité, les accessoires et la garantie avant toute offre ferme et à la réception. Les écarts sont documentés et signalés au client; aucune conformité ou certification non vérifiée n’est déclarée. Les produits défectueux sont isolés et les réclamations traitées avec le fournisseur.</w:t>
      </w:r>
    </w:p>
    <w:p>
      <w:pPr>
        <w:pStyle w:val="Heading1"/>
      </w:pPr>
      <w:r>
        <w:t>6 Environnement</w:t>
      </w:r>
    </w:p>
    <w:p>
      <w:r>
        <w:t>STICK cherche à réduire les emballages inutiles, les pertes d’énergie et les déchets liés au transport, à l’installation et à la maintenance. Les piles, batteries et appareils usagés sont séparés des déchets ordinaires et confiés à une filière appropriée lorsqu’elle existe. Les incidents environnementaux sont signalés et corrigés.</w:t>
      </w:r>
    </w:p>
    <w:p>
      <w:pPr>
        <w:pStyle w:val="Heading1"/>
      </w:pPr>
      <w:r>
        <w:t>7 Intégrité et achats</w:t>
      </w:r>
    </w:p>
    <w:p>
      <w:r>
        <w:t>STICK refuse les pots-de-vin, commissions occultes, cadeaux destinés à influencer une décision, conflits d’intérêts non déclarés et fausses pièces. Toute relation avec un agent public ou un acheteur institutionnel est conduite de manière transparente. Les prix, origines, certificats et engagements contractuels sont présentés de bonne foi.</w:t>
      </w:r>
    </w:p>
    <w:p>
      <w:pPr>
        <w:pStyle w:val="Heading1"/>
      </w:pPr>
      <w:r>
        <w:t>8 Fournisseurs et sous-traitants</w:t>
      </w:r>
    </w:p>
    <w:p>
      <w:r>
        <w:t>Avant de retenir un fournisseur, STICK vérifie son identité, la capacité de fournir les biens promis, les documents techniques et les conditions de livraison. Les exigences de ce code sont communiquées aux partenaires pertinents; les écarts graves entraînent une demande de correction ou la suspension de la relation.</w:t>
      </w:r>
    </w:p>
    <w:p>
      <w:pPr>
        <w:pStyle w:val="Heading1"/>
      </w:pPr>
      <w:r>
        <w:t>9 Alerte et traitement des plaintes</w:t>
      </w:r>
    </w:p>
    <w:p>
      <w:r>
        <w:t>Les collaborateurs et partenaires peuvent adresser une alerte au Directeur général ou à une personne désignée. STICK accuse réception, protège autant que possible la confidentialité, examine les faits et prend des mesures proportionnées. Aucune représaille n’est tolérée contre une personne qui signale de bonne foi un problème.</w:t>
      </w:r>
    </w:p>
    <w:p>
      <w:pPr>
        <w:pStyle w:val="Heading1"/>
      </w:pPr>
      <w:r>
        <w:t>10 Mise en œuvre et preuves</w:t>
      </w:r>
    </w:p>
    <w:p>
      <w:r>
        <w:t>Après adoption, STICK remet le code aux collaborateurs concernés, recueille un accusé de réception, tient un registre simple des formations, plaintes, incidents et actions correctives, puis révise le document chaque année. Le fait de signer ce code ne vaut pas preuve que des formations, contrôles ou audits ont déjà été réalisés.</w:t>
      </w:r>
    </w:p>
    <w:p>
      <w:pPr>
        <w:pStyle w:val="Heading1"/>
      </w:pPr>
      <w:r>
        <w:t>Approbation et entrée en vigueur</w:t>
      </w:r>
    </w:p>
    <w:tbl>
      <w:tblPr>
        <w:tblStyle w:val="TableGrid"/>
        <w:tblW w:type="auto" w:w="0"/>
        <w:jc w:val="center"/>
        <w:tblLook w:firstColumn="1" w:firstRow="1" w:lastColumn="0" w:lastRow="0" w:noHBand="0" w:noVBand="1" w:val="04A0"/>
      </w:tblPr>
      <w:tblGrid>
        <w:gridCol w:w="4873"/>
        <w:gridCol w:w="4873"/>
      </w:tblGrid>
      <w:tr>
        <w:tc>
          <w:tcPr>
            <w:tcW w:type="dxa" w:w="4873"/>
            <w:vAlign w:val="center"/>
          </w:tcPr>
          <w:p>
            <w:r>
              <w:t>Société</w:t>
            </w:r>
          </w:p>
        </w:tc>
        <w:tc>
          <w:tcPr>
            <w:tcW w:type="dxa" w:w="4873"/>
            <w:vAlign w:val="center"/>
          </w:tcPr>
          <w:p>
            <w:r>
              <w:t>STICK RDC SARLU</w:t>
            </w:r>
          </w:p>
        </w:tc>
      </w:tr>
      <w:tr>
        <w:tc>
          <w:tcPr>
            <w:tcW w:type="dxa" w:w="4873"/>
            <w:vAlign w:val="center"/>
          </w:tcPr>
          <w:p>
            <w:r>
              <w:t>Responsable</w:t>
            </w:r>
          </w:p>
        </w:tc>
        <w:tc>
          <w:tcPr>
            <w:tcW w:type="dxa" w:w="4873"/>
            <w:vAlign w:val="center"/>
          </w:tcPr>
          <w:p>
            <w:r>
              <w:t>Ir Paulin KIBANDO SENGI, Directeur général</w:t>
            </w:r>
          </w:p>
        </w:tc>
      </w:tr>
      <w:tr>
        <w:tc>
          <w:tcPr>
            <w:tcW w:type="dxa" w:w="4873"/>
            <w:vAlign w:val="center"/>
          </w:tcPr>
          <w:p>
            <w:r>
              <w:t>Date et signature</w:t>
            </w:r>
          </w:p>
        </w:tc>
        <w:tc>
          <w:tcPr>
            <w:tcW w:type="dxa" w:w="4873"/>
            <w:vAlign w:val="center"/>
          </w:tcPr>
          <w:p>
            <w:r>
              <w:t>29 septembre 2026     Signature :</w:t>
            </w:r>
            <w:r>
              <w:drawing>
                <wp:inline xmlns:a="http://schemas.openxmlformats.org/drawingml/2006/main" xmlns:pic="http://schemas.openxmlformats.org/drawingml/2006/picture">
                  <wp:extent cx="1097280" cy="579695"/>
                  <wp:docPr id="2" name="Picture 2"/>
                  <wp:cNvGraphicFramePr>
                    <a:graphicFrameLocks noChangeAspect="1"/>
                  </wp:cNvGraphicFramePr>
                  <a:graphic>
                    <a:graphicData uri="http://schemas.openxmlformats.org/drawingml/2006/picture">
                      <pic:pic>
                        <pic:nvPicPr>
                          <pic:cNvPr id="0" name="signature_stick_temp.png"/>
                          <pic:cNvPicPr/>
                        </pic:nvPicPr>
                        <pic:blipFill>
                          <a:blip r:embed="rId11"/>
                          <a:stretch>
                            <a:fillRect/>
                          </a:stretch>
                        </pic:blipFill>
                        <pic:spPr>
                          <a:xfrm>
                            <a:off x="0" y="0"/>
                            <a:ext cx="1097280" cy="579695"/>
                          </a:xfrm>
                          <a:prstGeom prst="rect"/>
                        </pic:spPr>
                      </pic:pic>
                    </a:graphicData>
                  </a:graphic>
                </wp:inline>
              </w:drawing>
            </w:r>
          </w:p>
        </w:tc>
      </w:tr>
    </w:tbl>
    <w:p>
      <w:pPr>
        <w:pStyle w:val="Caption"/>
        <w:spacing w:after="160"/>
      </w:pPr>
      <w:r>
        <w:t>Approuvé à Goma le 29 septembre 2026 par Ir Paulin KIBANDO SENGI, Directeur général de STICK RDC SARLU. Le présent code entre en vigueur à cette date et doit être communiqué aux collaborateurs concernés.</w:t>
      </w:r>
    </w:p>
    <w:sectPr w:rsidR="00FC693F" w:rsidRPr="0006063C" w:rsidSect="00034616">
      <w:footerReference w:type="default" r:id="rId9"/>
      <w:pgSz w:w="12240" w:h="15840"/>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STICK RDC SARLU  |  Code de conduite  |  Approbation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Aptos" w:hAnsi="Aptos"/>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220"/>
      <w:contextualSpacing/>
    </w:pPr>
    <w:rPr>
      <w:rFonts w:asciiTheme="majorHAnsi" w:eastAsiaTheme="majorEastAsia" w:hAnsiTheme="majorHAnsi" w:cstheme="majorBidi" w:ascii="Aptos" w:hAnsi="Aptos"/>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